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Decisions and follow-up</w:t>
      </w:r>
    </w:p>
    <w:p>
      <w:r>
        <w:rPr>
          <w:color w:val="57676A"/>
          <w:sz w:val="24"/>
        </w:rPr>
        <w:t>Optional handover for your existing minutes and action process.</w:t>
      </w:r>
    </w:p>
    <w:p>
      <w:r>
        <w:rPr>
          <w:color w:val="57676A"/>
          <w:sz w:val="17"/>
        </w:rPr>
        <w:t>BLANK TEMPLATE | DRAFT FOR REVIEW | Using this layout does not approve minutes or send messages.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15"/>
        <w:gridCol w:w="4915"/>
      </w:tblGrid>
      <w:tr>
        <w:trPr>
          <w:tblHeader/>
          <w:cantSplit/>
        </w:trPr>
        <w:tc>
          <w:tcPr>
            <w:tcW w:type="dxa" w:w="4915"/>
            <w:shd w:fill="153F3A"/>
          </w:tcPr>
          <w:p>
            <w:pPr>
              <w:spacing w:after="100"/>
            </w:pPr>
            <w:r>
              <w:rPr>
                <w:b/>
                <w:color w:val="FFFFFF"/>
                <w:sz w:val="19"/>
              </w:rPr>
              <w:t>Meeting / date</w:t>
            </w:r>
          </w:p>
        </w:tc>
        <w:tc>
          <w:tcPr>
            <w:tcW w:type="dxa" w:w="4915"/>
            <w:shd w:fill="153F3A"/>
          </w:tcPr>
          <w:p>
            <w:pPr>
              <w:spacing w:after="100"/>
            </w:pPr>
            <w:r>
              <w:rPr>
                <w:b/>
                <w:color w:val="FFFFFF"/>
                <w:sz w:val="19"/>
              </w:rPr>
              <w:t>Source status</w:t>
            </w:r>
          </w:p>
        </w:tc>
      </w:tr>
      <w:tr>
        <w:trPr>
          <w:cantSplit/>
        </w:trPr>
        <w:tc>
          <w:tcPr>
            <w:tcW w:type="dxa" w:w="4915"/>
          </w:tcPr>
          <w:p>
            <w:pPr>
              <w:spacing w:after="100"/>
            </w:pPr>
            <w:r>
              <w:rPr>
                <w:sz w:val="19"/>
              </w:rPr>
              <w:t>[Meeting and local date]</w:t>
            </w:r>
          </w:p>
        </w:tc>
        <w:tc>
          <w:tcPr>
            <w:tcW w:type="dxa" w:w="4915"/>
          </w:tcPr>
          <w:p>
            <w:pPr>
              <w:spacing w:after="100"/>
            </w:pPr>
            <w:r>
              <w:rPr>
                <w:sz w:val="19"/>
              </w:rPr>
              <w:t>[Approved minutes / unconfirmed notes; source locator]</w:t>
            </w:r>
          </w:p>
        </w:tc>
      </w:tr>
    </w:tbl>
    <w:p>
      <w:pPr>
        <w:pStyle w:val="Heading1"/>
      </w:pPr>
      <w:r>
        <w:t>Decisions and conditions</w:t>
      </w:r>
    </w:p>
    <w:p>
      <w:r>
        <w:t>[Record only supported decisions. Distinguish conditions retained, changed and not resolved. Name uncertainty if the minutes are unapproved.]</w:t>
      </w:r>
    </w:p>
    <w:p>
      <w:pPr>
        <w:pStyle w:val="Heading1"/>
      </w:pPr>
      <w:r>
        <w:t>Actions for the normal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77"/>
        <w:gridCol w:w="3277"/>
        <w:gridCol w:w="3277"/>
      </w:tblGrid>
      <w:tr>
        <w:trPr>
          <w:tblHeader/>
          <w:cantSplit/>
        </w:trPr>
        <w:tc>
          <w:tcPr>
            <w:tcW w:type="dxa" w:w="3277"/>
            <w:shd w:fill="153F3A"/>
          </w:tcPr>
          <w:p>
            <w:pPr>
              <w:spacing w:after="100"/>
            </w:pPr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3277"/>
            <w:shd w:fill="153F3A"/>
          </w:tcPr>
          <w:p>
            <w:pPr>
              <w:spacing w:after="100"/>
            </w:pPr>
            <w:r>
              <w:rPr>
                <w:b/>
                <w:color w:val="FFFFFF"/>
                <w:sz w:val="19"/>
              </w:rPr>
              <w:t>Deliverable</w:t>
            </w:r>
          </w:p>
        </w:tc>
        <w:tc>
          <w:tcPr>
            <w:tcW w:type="dxa" w:w="3277"/>
            <w:shd w:fill="153F3A"/>
          </w:tcPr>
          <w:p>
            <w:pPr>
              <w:spacing w:after="100"/>
            </w:pPr>
            <w:r>
              <w:rPr>
                <w:b/>
                <w:color w:val="FFFFFF"/>
                <w:sz w:val="19"/>
              </w:rPr>
              <w:t>Due / basis</w:t>
            </w:r>
          </w:p>
        </w:tc>
      </w:tr>
      <w:tr>
        <w:trPr>
          <w:cantSplit/>
        </w:trPr>
        <w:tc>
          <w:tcPr>
            <w:tcW w:type="dxa" w:w="3277"/>
          </w:tcPr>
          <w:p>
            <w:pPr>
              <w:spacing w:after="100"/>
            </w:pPr>
            <w:r>
              <w:rPr>
                <w:sz w:val="19"/>
              </w:rPr>
              <w:t>[Source-assigned role]</w:t>
            </w:r>
          </w:p>
        </w:tc>
        <w:tc>
          <w:tcPr>
            <w:tcW w:type="dxa" w:w="3277"/>
          </w:tcPr>
          <w:p>
            <w:pPr>
              <w:spacing w:after="100"/>
            </w:pPr>
            <w:r>
              <w:rPr>
                <w:sz w:val="19"/>
              </w:rPr>
              <w:t>[Specific supported commitment]</w:t>
            </w:r>
          </w:p>
        </w:tc>
        <w:tc>
          <w:tcPr>
            <w:tcW w:type="dxa" w:w="3277"/>
          </w:tcPr>
          <w:p>
            <w:pPr>
              <w:spacing w:after="100"/>
            </w:pPr>
            <w:r>
              <w:rPr>
                <w:sz w:val="19"/>
              </w:rPr>
              <w:t>[Date and source]</w:t>
            </w:r>
          </w:p>
        </w:tc>
      </w:tr>
      <w:tr>
        <w:trPr>
          <w:cantSplit/>
        </w:trPr>
        <w:tc>
          <w:tcPr>
            <w:tcW w:type="dxa" w:w="3277"/>
          </w:tcPr>
          <w:p>
            <w:pPr>
              <w:spacing w:after="100"/>
            </w:pPr>
            <w:r>
              <w:rPr>
                <w:sz w:val="19"/>
              </w:rPr>
              <w:t>[Source-assigned role]</w:t>
            </w:r>
          </w:p>
        </w:tc>
        <w:tc>
          <w:tcPr>
            <w:tcW w:type="dxa" w:w="3277"/>
          </w:tcPr>
          <w:p>
            <w:pPr>
              <w:spacing w:after="100"/>
            </w:pPr>
            <w:r>
              <w:rPr>
                <w:sz w:val="19"/>
              </w:rPr>
              <w:t>[Specific supported commitment]</w:t>
            </w:r>
          </w:p>
        </w:tc>
        <w:tc>
          <w:tcPr>
            <w:tcW w:type="dxa" w:w="3277"/>
          </w:tcPr>
          <w:p>
            <w:pPr>
              <w:spacing w:after="100"/>
            </w:pPr>
            <w:r>
              <w:rPr>
                <w:sz w:val="19"/>
              </w:rPr>
              <w:t>[Date and source]</w:t>
            </w:r>
          </w:p>
        </w:tc>
      </w:tr>
    </w:tbl>
    <w:p>
      <w:pPr>
        <w:pStyle w:val="Heading1"/>
      </w:pPr>
      <w:r>
        <w:t>Follow-up message draft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31"/>
      </w:tblGrid>
      <w:tr>
        <w:tc>
          <w:tcPr>
            <w:tcW w:type="dxa" w:w="9831"/>
            <w:shd w:fill="EEF4F1"/>
          </w:tcPr>
          <w:p>
            <w:pPr>
              <w:spacing w:before="140" w:after="140"/>
            </w:pPr>
            <w:r>
              <w:rPr>
                <w:color w:val="153F3A"/>
              </w:rPr>
              <w:t>[Owner], the [approved record and date] requests [deliverable] by [due date]. Please provide [evidence or clarification], or identify what remains unresolved. [Preserve any condition that still applies.]</w:t>
            </w:r>
          </w:p>
        </w:tc>
      </w:tr>
    </w:tbl>
    <w:p>
      <w:pPr>
        <w:spacing w:after="0"/>
      </w:pPr>
    </w:p>
    <w:p>
      <w:pPr>
        <w:pStyle w:val="Heading1"/>
      </w:pPr>
      <w:r>
        <w:t>Review before use</w:t>
      </w:r>
    </w:p>
    <w:p>
      <w:r>
        <w:t>Confirm the decision status, owner and date against the source. Keep unresolved points visible. Review the message before sending and use the organisation’s established official record.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936" w:right="1037" w:bottom="936" w:left="1037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7676A"/>
        <w:sz w:val="16"/>
      </w:rPr>
      <w:t xml:space="preserve">Release 1.0 | 19 September 2026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53F3A"/>
        <w:sz w:val="16"/>
      </w:rPr>
      <w:t>KESSLERNITY  /  EXCOM OFFICE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4" w:lineRule="auto"/>
    </w:pPr>
    <w:rPr>
      <w:rFonts w:ascii="Arial" w:hAnsi="Arial"/>
      <w:color w:val="2632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53F3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53F3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53F3A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Decisions and follow-up</dc:title>
  <dc:subject>ExCom Office | Assistant or secretary</dc:subject>
  <dc:creator>Kesslernity</dc:creator>
  <cp:keywords>ExCom Office, executive briefing, release 1.0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